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63" w:rsidRPr="0060785B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標楷體"/>
          <w:color w:val="FF0000"/>
          <w:sz w:val="22"/>
          <w:bdr w:val="none" w:sz="0" w:space="0" w:color="auto"/>
          <w:lang w:eastAsia="zh-TW"/>
        </w:rPr>
      </w:pPr>
      <w:r w:rsidRPr="001B479E">
        <w:rPr>
          <w:rFonts w:eastAsia="標楷體"/>
          <w:b/>
          <w:sz w:val="40"/>
          <w:szCs w:val="40"/>
          <w:bdr w:val="none" w:sz="0" w:space="0" w:color="auto"/>
          <w:lang w:eastAsia="zh-TW"/>
        </w:rPr>
        <w:t>國立東華大學音樂學系碩士班術科考試</w:t>
      </w:r>
      <w:r w:rsidRPr="001B479E">
        <w:rPr>
          <w:rFonts w:eastAsia="標楷體"/>
          <w:sz w:val="40"/>
          <w:szCs w:val="40"/>
          <w:bdr w:val="none" w:sz="0" w:space="0" w:color="auto"/>
          <w:lang w:eastAsia="zh-TW"/>
        </w:rPr>
        <w:t>規則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97.06.18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96-2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</w:t>
      </w:r>
      <w:r w:rsidRPr="001B479E">
        <w:rPr>
          <w:rFonts w:eastAsia="標楷體"/>
          <w:kern w:val="2"/>
          <w:sz w:val="20"/>
          <w:szCs w:val="22"/>
          <w:bdr w:val="none" w:sz="0" w:space="0" w:color="auto"/>
          <w:lang w:eastAsia="zh-TW"/>
        </w:rPr>
        <w:t>十二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97.12.17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97-1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</w:t>
      </w:r>
      <w:r w:rsidRPr="001B479E">
        <w:rPr>
          <w:rFonts w:eastAsia="標楷體"/>
          <w:kern w:val="2"/>
          <w:sz w:val="20"/>
          <w:szCs w:val="22"/>
          <w:bdr w:val="none" w:sz="0" w:space="0" w:color="auto"/>
          <w:lang w:eastAsia="zh-TW"/>
        </w:rPr>
        <w:t>十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98.04.28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97-2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</w:t>
      </w:r>
      <w:r w:rsidRPr="001B479E">
        <w:rPr>
          <w:rFonts w:eastAsia="標楷體"/>
          <w:kern w:val="2"/>
          <w:sz w:val="20"/>
          <w:szCs w:val="22"/>
          <w:bdr w:val="none" w:sz="0" w:space="0" w:color="auto"/>
          <w:lang w:eastAsia="zh-TW"/>
        </w:rPr>
        <w:t>五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101.03.14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100-2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第二次系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101.09.26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101-1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第一次系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101.10.09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101-1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第二次系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102.09.18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102-1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第二次系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107.06.26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106-2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第五次系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108.01.09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107-1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第三次系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D37A63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 xml:space="preserve">108.03.06 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107-2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第一次系</w:t>
      </w:r>
      <w:proofErr w:type="gramStart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務</w:t>
      </w:r>
      <w:proofErr w:type="gramEnd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會議通過</w:t>
      </w:r>
    </w:p>
    <w:p w:rsidR="00C5707E" w:rsidRPr="001B479E" w:rsidRDefault="00C5707E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</w:pPr>
      <w:r>
        <w:rPr>
          <w:rFonts w:eastAsia="標楷體" w:hint="eastAsia"/>
          <w:kern w:val="2"/>
          <w:sz w:val="20"/>
          <w:szCs w:val="20"/>
          <w:bdr w:val="none" w:sz="0" w:space="0" w:color="auto"/>
          <w:lang w:eastAsia="zh-TW"/>
        </w:rPr>
        <w:t>109.09.16</w:t>
      </w:r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音樂學系</w:t>
      </w:r>
      <w:r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10</w:t>
      </w:r>
      <w:r>
        <w:rPr>
          <w:rFonts w:eastAsia="標楷體" w:hint="eastAsia"/>
          <w:kern w:val="2"/>
          <w:sz w:val="20"/>
          <w:szCs w:val="20"/>
          <w:bdr w:val="none" w:sz="0" w:space="0" w:color="auto"/>
          <w:lang w:eastAsia="zh-TW"/>
        </w:rPr>
        <w:t>9</w:t>
      </w:r>
      <w:r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-</w:t>
      </w:r>
      <w:r>
        <w:rPr>
          <w:rFonts w:eastAsia="標楷體" w:hint="eastAsia"/>
          <w:kern w:val="2"/>
          <w:sz w:val="20"/>
          <w:szCs w:val="20"/>
          <w:bdr w:val="none" w:sz="0" w:space="0" w:color="auto"/>
          <w:lang w:eastAsia="zh-TW"/>
        </w:rPr>
        <w:t>1</w:t>
      </w:r>
      <w:bookmarkStart w:id="0" w:name="_GoBack"/>
      <w:bookmarkEnd w:id="0"/>
      <w:r w:rsidRPr="001B479E">
        <w:rPr>
          <w:rFonts w:eastAsia="標楷體"/>
          <w:kern w:val="2"/>
          <w:sz w:val="20"/>
          <w:szCs w:val="20"/>
          <w:bdr w:val="none" w:sz="0" w:space="0" w:color="auto"/>
          <w:lang w:eastAsia="zh-TW"/>
        </w:rPr>
        <w:t>第一次系務會議通過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標楷體"/>
          <w:kern w:val="2"/>
          <w:sz w:val="20"/>
          <w:szCs w:val="22"/>
          <w:bdr w:val="none" w:sz="0" w:space="0" w:color="auto"/>
          <w:lang w:eastAsia="zh-TW"/>
        </w:rPr>
      </w:pPr>
    </w:p>
    <w:p w:rsidR="00D37A63" w:rsidRDefault="00D37A63" w:rsidP="00D37A6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標楷體"/>
          <w:b/>
          <w:kern w:val="2"/>
          <w:szCs w:val="23"/>
          <w:bdr w:val="none" w:sz="0" w:space="0" w:color="auto"/>
          <w:lang w:eastAsia="zh-TW"/>
        </w:rPr>
      </w:pPr>
      <w:r w:rsidRPr="001B479E">
        <w:rPr>
          <w:rFonts w:eastAsia="標楷體"/>
          <w:b/>
          <w:kern w:val="2"/>
          <w:szCs w:val="23"/>
          <w:bdr w:val="none" w:sz="0" w:space="0" w:color="auto"/>
          <w:lang w:eastAsia="zh-TW"/>
        </w:rPr>
        <w:t>術科考試方式</w:t>
      </w:r>
    </w:p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2"/>
        <w:rPr>
          <w:rFonts w:eastAsia="標楷體"/>
          <w:b/>
          <w:kern w:val="2"/>
          <w:szCs w:val="23"/>
          <w:bdr w:val="none" w:sz="0" w:space="0" w:color="auto"/>
          <w:lang w:eastAsia="zh-TW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929"/>
        <w:gridCol w:w="1620"/>
        <w:gridCol w:w="5260"/>
      </w:tblGrid>
      <w:tr w:rsidR="00D37A63" w:rsidRPr="001B479E" w:rsidTr="00D37A63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組別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考試曲目</w:t>
            </w:r>
          </w:p>
        </w:tc>
        <w:tc>
          <w:tcPr>
            <w:tcW w:w="162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曲目時間</w:t>
            </w:r>
          </w:p>
        </w:tc>
        <w:tc>
          <w:tcPr>
            <w:tcW w:w="526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說明</w:t>
            </w:r>
          </w:p>
        </w:tc>
      </w:tr>
      <w:tr w:rsidR="00D37A63" w:rsidRPr="001B479E" w:rsidTr="00D37A63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鋼琴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考試內容包含至少三種以上不同時期之作品（不包含室內樂曲目），背譜演奏。</w:t>
            </w:r>
          </w:p>
        </w:tc>
        <w:tc>
          <w:tcPr>
            <w:tcW w:w="1620" w:type="dxa"/>
            <w:vMerge w:val="restart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上學期總長不得少於十分鐘。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其他學期總長不得少於二十分鐘。</w:t>
            </w:r>
          </w:p>
        </w:tc>
        <w:tc>
          <w:tcPr>
            <w:tcW w:w="5260" w:type="dxa"/>
            <w:vMerge w:val="restart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除舉行學位音樂會及畢業音樂會之學期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不需考術科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考試外，其他學期修習術科個別課學分者，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均須參加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術科期末考。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每學期考試之曲目不得重複。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3.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學位音樂會與畢業音樂會之內容可選自各學期術科考試之曲目，兩場內容不得重複。</w:t>
            </w:r>
          </w:p>
        </w:tc>
      </w:tr>
      <w:tr w:rsidR="00D37A63" w:rsidRPr="001B479E" w:rsidTr="00D37A63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聲樂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考試內容包含至少三種以上語言及三種以上不同時期之作品。</w:t>
            </w:r>
          </w:p>
        </w:tc>
        <w:tc>
          <w:tcPr>
            <w:tcW w:w="1620" w:type="dxa"/>
            <w:vMerge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5260" w:type="dxa"/>
            <w:vMerge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</w:p>
        </w:tc>
      </w:tr>
      <w:tr w:rsidR="00D37A63" w:rsidRPr="001B479E" w:rsidTr="00D37A63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合唱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指揮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以當學期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所學樂派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曲目或由合唱團練習曲目中挑選考試樂曲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上：文藝復興時期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碩一下：巴洛克及古典時期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碩二上：浪漫及現代樂派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碩二下：以畢業音樂會曲目為主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162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上至少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首合唱曲且為不同作曲家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(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須背譜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)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其他至少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3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首且為不同作曲家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(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須背譜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)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。</w:t>
            </w:r>
          </w:p>
        </w:tc>
        <w:tc>
          <w:tcPr>
            <w:tcW w:w="526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合唱指揮組之期末術科考試、畢業考試音樂會之地點及指揮合唱團體，需報請系上核准後方得進行考試。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考試場地若非本校場地，需有系行政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人員在場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，可能衍生之旅運費由考生負擔</w:t>
            </w:r>
          </w:p>
        </w:tc>
      </w:tr>
      <w:tr w:rsidR="00D37A63" w:rsidRPr="001B479E" w:rsidTr="00D37A63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絃樂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考試內容包含至少三首作品</w:t>
            </w:r>
          </w:p>
        </w:tc>
        <w:tc>
          <w:tcPr>
            <w:tcW w:w="162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上學期總長不得少於十分鐘。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lastRenderedPageBreak/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其他學期總長不得少於二十分鐘。</w:t>
            </w:r>
          </w:p>
        </w:tc>
        <w:tc>
          <w:tcPr>
            <w:tcW w:w="526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lastRenderedPageBreak/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除舉行學位音樂會及畢業音樂會之學期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不需考術科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考試外，其他學期修習術科個別課學分者，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均須參加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術科期末考。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lastRenderedPageBreak/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每學期考試之曲目不得重複。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3.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學位音樂會與畢業音樂會之內容可選自各學期術科考試之曲目，兩場內容不得重複。</w:t>
            </w:r>
          </w:p>
        </w:tc>
      </w:tr>
      <w:tr w:rsidR="00D37A63" w:rsidRPr="001B479E" w:rsidTr="00C5707E">
        <w:trPr>
          <w:jc w:val="center"/>
        </w:trPr>
        <w:tc>
          <w:tcPr>
            <w:tcW w:w="95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lastRenderedPageBreak/>
              <w:t>管樂</w:t>
            </w:r>
          </w:p>
        </w:tc>
        <w:tc>
          <w:tcPr>
            <w:tcW w:w="2929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考試內容為至少兩首不同時期之作品，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全曲背譜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演奏。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上學期，其中一首須為巴洛克樂派。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碩一下學期曲目，其中一首須為巴洛克或古典樂派。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碩二上學期曲目，其中一首須為現代作品。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＊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碩二下學期曲目應包含三種不同樂派作品。</w:t>
            </w:r>
          </w:p>
        </w:tc>
        <w:tc>
          <w:tcPr>
            <w:tcW w:w="162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碩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一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上學期總長不得少於十分鐘。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 xml:space="preserve"> 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其他學期總長不得少於二十分鐘。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5260" w:type="dxa"/>
          </w:tcPr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1.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除舉行學位音樂會及畢業音樂會之學期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不需考術科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考試外，其他學期修習術科個別課學分者，</w:t>
            </w:r>
            <w:proofErr w:type="gramStart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均須參加</w:t>
            </w:r>
            <w:proofErr w:type="gramEnd"/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術科期末考。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2.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每學期考試之曲目不得重複。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3.</w:t>
            </w:r>
            <w:r w:rsidRPr="001B479E">
              <w:rPr>
                <w:rFonts w:eastAsia="標楷體"/>
                <w:kern w:val="2"/>
                <w:bdr w:val="none" w:sz="0" w:space="0" w:color="auto"/>
                <w:lang w:eastAsia="zh-TW"/>
              </w:rPr>
              <w:t>學位音樂會與畢業音樂會之內容可選自各學期術科考試之曲目，兩場內容不得重複。</w:t>
            </w:r>
          </w:p>
          <w:p w:rsidR="00D37A63" w:rsidRPr="001B479E" w:rsidRDefault="00D37A63" w:rsidP="00E2322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kern w:val="2"/>
                <w:bdr w:val="none" w:sz="0" w:space="0" w:color="auto"/>
                <w:lang w:eastAsia="zh-TW"/>
              </w:rPr>
            </w:pPr>
          </w:p>
        </w:tc>
      </w:tr>
    </w:tbl>
    <w:p w:rsidR="00D37A63" w:rsidRPr="001B479E" w:rsidRDefault="00D37A63" w:rsidP="00D37A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2"/>
        <w:rPr>
          <w:rFonts w:eastAsia="標楷體"/>
          <w:b/>
          <w:kern w:val="2"/>
          <w:sz w:val="20"/>
          <w:szCs w:val="22"/>
          <w:bdr w:val="none" w:sz="0" w:space="0" w:color="auto"/>
          <w:lang w:eastAsia="zh-TW"/>
        </w:rPr>
      </w:pPr>
    </w:p>
    <w:p w:rsidR="00C5707E" w:rsidRPr="00C5707E" w:rsidRDefault="00C5707E" w:rsidP="00C5707E">
      <w:pPr>
        <w:pStyle w:val="a8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  <w:lang w:eastAsia="zh-TW"/>
        </w:rPr>
      </w:pPr>
      <w:r w:rsidRPr="00C5707E">
        <w:rPr>
          <w:rFonts w:ascii="標楷體" w:eastAsia="標楷體" w:hAnsi="標楷體"/>
          <w:b/>
          <w:lang w:eastAsia="zh-TW"/>
        </w:rPr>
        <w:t>術科成績計算方式如下:</w:t>
      </w:r>
    </w:p>
    <w:p w:rsidR="00C5707E" w:rsidRPr="00C5707E" w:rsidRDefault="00C5707E" w:rsidP="00C5707E">
      <w:pPr>
        <w:pStyle w:val="a8"/>
        <w:spacing w:line="360" w:lineRule="auto"/>
        <w:ind w:leftChars="0" w:left="492"/>
        <w:jc w:val="both"/>
        <w:rPr>
          <w:rFonts w:ascii="標楷體" w:eastAsia="標楷體" w:hAnsi="標楷體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6"/>
      </w:tblGrid>
      <w:tr w:rsidR="00C5707E" w:rsidRPr="00C5707E" w:rsidTr="0013232F">
        <w:trPr>
          <w:trHeight w:val="373"/>
        </w:trPr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  <w:sz w:val="20"/>
              </w:rPr>
            </w:pPr>
            <w:r w:rsidRPr="00C5707E">
              <w:rPr>
                <w:rFonts w:eastAsia="標楷體"/>
                <w:noProof/>
                <w:kern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E604A" wp14:editId="2040B00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41910</wp:posOffset>
                      </wp:positionV>
                      <wp:extent cx="1045845" cy="419100"/>
                      <wp:effectExtent l="11430" t="13335" r="952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584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35pt;margin-top:3.3pt;width:82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"/>
                  </w:pict>
                </mc:Fallback>
              </mc:AlternateContent>
            </w:r>
            <w:r w:rsidRPr="00C5707E">
              <w:rPr>
                <w:rFonts w:eastAsia="標楷體"/>
                <w:kern w:val="24"/>
                <w:lang w:eastAsia="zh-TW"/>
              </w:rPr>
              <w:t xml:space="preserve"> </w:t>
            </w:r>
            <w:r w:rsidRPr="00C5707E">
              <w:rPr>
                <w:rFonts w:eastAsia="標楷體"/>
                <w:kern w:val="24"/>
                <w:sz w:val="20"/>
                <w:lang w:eastAsia="zh-TW"/>
              </w:rPr>
              <w:t xml:space="preserve">       </w:t>
            </w:r>
            <w:proofErr w:type="spellStart"/>
            <w:r w:rsidRPr="00C5707E">
              <w:rPr>
                <w:rFonts w:eastAsia="標楷體"/>
                <w:kern w:val="24"/>
                <w:sz w:val="20"/>
              </w:rPr>
              <w:t>項目</w:t>
            </w:r>
            <w:proofErr w:type="spellEnd"/>
          </w:p>
          <w:p w:rsidR="00C5707E" w:rsidRPr="00C5707E" w:rsidRDefault="00C5707E" w:rsidP="0013232F">
            <w:pPr>
              <w:spacing w:line="360" w:lineRule="auto"/>
              <w:rPr>
                <w:rFonts w:eastAsia="標楷體"/>
                <w:kern w:val="24"/>
                <w:sz w:val="20"/>
                <w:lang w:eastAsia="zh-TW"/>
              </w:rPr>
            </w:pPr>
            <w:r w:rsidRPr="00C5707E">
              <w:rPr>
                <w:rFonts w:eastAsia="標楷體" w:hint="eastAsia"/>
                <w:kern w:val="24"/>
                <w:sz w:val="20"/>
                <w:lang w:eastAsia="zh-TW"/>
              </w:rPr>
              <w:t>科目</w:t>
            </w:r>
          </w:p>
        </w:tc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proofErr w:type="spellStart"/>
            <w:r w:rsidRPr="00C5707E">
              <w:rPr>
                <w:rFonts w:eastAsia="標楷體"/>
                <w:kern w:val="24"/>
              </w:rPr>
              <w:t>期末考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proofErr w:type="spellStart"/>
            <w:r w:rsidRPr="00C5707E">
              <w:rPr>
                <w:rFonts w:eastAsia="標楷體"/>
                <w:kern w:val="24"/>
              </w:rPr>
              <w:t>平時成績</w:t>
            </w:r>
            <w:proofErr w:type="spellEnd"/>
          </w:p>
        </w:tc>
      </w:tr>
      <w:tr w:rsidR="00C5707E" w:rsidRPr="00C5707E" w:rsidTr="0013232F">
        <w:trPr>
          <w:trHeight w:val="497"/>
        </w:trPr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  <w:lang w:eastAsia="zh-TW"/>
              </w:rPr>
            </w:pPr>
            <w:proofErr w:type="spellStart"/>
            <w:r w:rsidRPr="00C5707E">
              <w:rPr>
                <w:rFonts w:eastAsia="標楷體"/>
                <w:kern w:val="24"/>
              </w:rPr>
              <w:t>主修</w:t>
            </w:r>
            <w:proofErr w:type="spellEnd"/>
          </w:p>
        </w:tc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r w:rsidRPr="00C5707E">
              <w:rPr>
                <w:rFonts w:eastAsia="標楷體" w:hint="eastAsia"/>
                <w:kern w:val="24"/>
                <w:lang w:eastAsia="zh-TW"/>
              </w:rPr>
              <w:t>7</w:t>
            </w:r>
            <w:r w:rsidRPr="00C5707E">
              <w:rPr>
                <w:rFonts w:eastAsia="標楷體"/>
                <w:kern w:val="24"/>
              </w:rPr>
              <w:t>0%</w:t>
            </w:r>
          </w:p>
        </w:tc>
        <w:tc>
          <w:tcPr>
            <w:tcW w:w="1656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r w:rsidRPr="00C5707E">
              <w:rPr>
                <w:rFonts w:eastAsia="標楷體" w:hint="eastAsia"/>
                <w:kern w:val="24"/>
                <w:lang w:eastAsia="zh-TW"/>
              </w:rPr>
              <w:t>3</w:t>
            </w:r>
            <w:r w:rsidRPr="00C5707E">
              <w:rPr>
                <w:rFonts w:eastAsia="標楷體"/>
                <w:kern w:val="24"/>
              </w:rPr>
              <w:t>0%</w:t>
            </w:r>
          </w:p>
        </w:tc>
      </w:tr>
      <w:tr w:rsidR="00C5707E" w:rsidRPr="00C5707E" w:rsidTr="0013232F">
        <w:trPr>
          <w:trHeight w:val="377"/>
        </w:trPr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  <w:lang w:eastAsia="zh-TW"/>
              </w:rPr>
            </w:pPr>
            <w:r w:rsidRPr="00C5707E">
              <w:rPr>
                <w:rFonts w:eastAsia="標楷體" w:hint="eastAsia"/>
                <w:kern w:val="24"/>
                <w:lang w:eastAsia="zh-TW"/>
              </w:rPr>
              <w:t>副修</w:t>
            </w:r>
          </w:p>
        </w:tc>
        <w:tc>
          <w:tcPr>
            <w:tcW w:w="1655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r w:rsidRPr="00C5707E">
              <w:rPr>
                <w:rFonts w:eastAsia="標楷體" w:hint="eastAsia"/>
                <w:kern w:val="24"/>
                <w:lang w:eastAsia="zh-TW"/>
              </w:rPr>
              <w:t>7</w:t>
            </w:r>
            <w:r w:rsidRPr="00C5707E">
              <w:rPr>
                <w:rFonts w:eastAsia="標楷體"/>
                <w:kern w:val="24"/>
              </w:rPr>
              <w:t>0%</w:t>
            </w:r>
          </w:p>
        </w:tc>
        <w:tc>
          <w:tcPr>
            <w:tcW w:w="1656" w:type="dxa"/>
            <w:shd w:val="clear" w:color="auto" w:fill="auto"/>
          </w:tcPr>
          <w:p w:rsidR="00C5707E" w:rsidRPr="00C5707E" w:rsidRDefault="00C5707E" w:rsidP="0013232F">
            <w:pPr>
              <w:spacing w:line="360" w:lineRule="auto"/>
              <w:jc w:val="center"/>
              <w:rPr>
                <w:rFonts w:eastAsia="標楷體"/>
                <w:kern w:val="24"/>
              </w:rPr>
            </w:pPr>
            <w:r w:rsidRPr="00C5707E">
              <w:rPr>
                <w:rFonts w:eastAsia="標楷體" w:hint="eastAsia"/>
                <w:kern w:val="24"/>
                <w:lang w:eastAsia="zh-TW"/>
              </w:rPr>
              <w:t>3</w:t>
            </w:r>
            <w:r w:rsidRPr="00C5707E">
              <w:rPr>
                <w:rFonts w:eastAsia="標楷體"/>
                <w:kern w:val="24"/>
              </w:rPr>
              <w:t>0%</w:t>
            </w:r>
          </w:p>
        </w:tc>
      </w:tr>
    </w:tbl>
    <w:p w:rsidR="00C5707E" w:rsidRPr="00C5707E" w:rsidRDefault="00C5707E" w:rsidP="00C5707E">
      <w:pPr>
        <w:spacing w:beforeLines="100" w:before="360" w:line="360" w:lineRule="auto"/>
        <w:ind w:leftChars="119" w:left="843" w:hangingChars="232" w:hanging="557"/>
        <w:jc w:val="both"/>
        <w:rPr>
          <w:rFonts w:eastAsia="標楷體"/>
          <w:lang w:eastAsia="zh-TW"/>
        </w:rPr>
      </w:pPr>
      <w:proofErr w:type="gramStart"/>
      <w:r w:rsidRPr="00C5707E">
        <w:rPr>
          <w:rFonts w:eastAsia="標楷體"/>
          <w:lang w:eastAsia="zh-TW"/>
        </w:rPr>
        <w:t>﹡</w:t>
      </w:r>
      <w:proofErr w:type="gramEnd"/>
      <w:r w:rsidRPr="00C5707E">
        <w:rPr>
          <w:rFonts w:eastAsia="標楷體"/>
          <w:lang w:eastAsia="zh-TW"/>
        </w:rPr>
        <w:t>期中成績及期末成績統計由全數評審委員給分後，取其平均值。</w:t>
      </w:r>
    </w:p>
    <w:p w:rsidR="00C5707E" w:rsidRPr="00C5707E" w:rsidRDefault="00C5707E" w:rsidP="00C5707E">
      <w:pPr>
        <w:spacing w:line="360" w:lineRule="auto"/>
        <w:ind w:leftChars="119" w:left="843" w:hangingChars="232" w:hanging="557"/>
        <w:jc w:val="both"/>
        <w:rPr>
          <w:rFonts w:eastAsia="標楷體"/>
          <w:lang w:eastAsia="zh-TW"/>
        </w:rPr>
      </w:pPr>
      <w:proofErr w:type="gramStart"/>
      <w:r w:rsidRPr="00C5707E">
        <w:rPr>
          <w:lang w:eastAsia="zh-TW"/>
        </w:rPr>
        <w:t>﹡</w:t>
      </w:r>
      <w:proofErr w:type="gramEnd"/>
      <w:r w:rsidRPr="00C5707E">
        <w:rPr>
          <w:rFonts w:eastAsia="標楷體"/>
          <w:lang w:eastAsia="zh-TW"/>
        </w:rPr>
        <w:t>全部成績由系辦統一計算後，交由教師個別上傳學校登錄。</w:t>
      </w:r>
    </w:p>
    <w:p w:rsidR="00D37A63" w:rsidRPr="00C5707E" w:rsidRDefault="00D37A63" w:rsidP="00D37A63">
      <w:pPr>
        <w:pStyle w:val="A3"/>
        <w:rPr>
          <w:rFonts w:ascii="標楷體" w:eastAsia="標楷體" w:hAnsi="標楷體" w:cs="標楷體" w:hint="default"/>
          <w:sz w:val="28"/>
          <w:szCs w:val="28"/>
        </w:rPr>
      </w:pPr>
    </w:p>
    <w:p w:rsidR="007312F4" w:rsidRDefault="007312F4">
      <w:pPr>
        <w:rPr>
          <w:lang w:eastAsia="zh-TW"/>
        </w:rPr>
      </w:pPr>
    </w:p>
    <w:sectPr w:rsidR="00731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5B" w:rsidRDefault="009F185B" w:rsidP="00C5707E">
      <w:r>
        <w:separator/>
      </w:r>
    </w:p>
  </w:endnote>
  <w:endnote w:type="continuationSeparator" w:id="0">
    <w:p w:rsidR="009F185B" w:rsidRDefault="009F185B" w:rsidP="00C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5B" w:rsidRDefault="009F185B" w:rsidP="00C5707E">
      <w:r>
        <w:separator/>
      </w:r>
    </w:p>
  </w:footnote>
  <w:footnote w:type="continuationSeparator" w:id="0">
    <w:p w:rsidR="009F185B" w:rsidRDefault="009F185B" w:rsidP="00C5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37AE"/>
    <w:multiLevelType w:val="hybridMultilevel"/>
    <w:tmpl w:val="CEFEA41C"/>
    <w:lvl w:ilvl="0" w:tplc="0E787DE2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3"/>
    <w:rsid w:val="00110F1B"/>
    <w:rsid w:val="0060785B"/>
    <w:rsid w:val="007312F4"/>
    <w:rsid w:val="00922632"/>
    <w:rsid w:val="009F185B"/>
    <w:rsid w:val="00B817E0"/>
    <w:rsid w:val="00C5707E"/>
    <w:rsid w:val="00D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D37A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07E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C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07E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8">
    <w:name w:val="List Paragraph"/>
    <w:basedOn w:val="a"/>
    <w:uiPriority w:val="34"/>
    <w:qFormat/>
    <w:rsid w:val="00C570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D37A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C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07E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C57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07E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8">
    <w:name w:val="List Paragraph"/>
    <w:basedOn w:val="a"/>
    <w:uiPriority w:val="34"/>
    <w:qFormat/>
    <w:rsid w:val="00C570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2020-12-24T06:50:00Z</dcterms:created>
  <dcterms:modified xsi:type="dcterms:W3CDTF">2020-12-24T06:50:00Z</dcterms:modified>
</cp:coreProperties>
</file>